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03" w:rsidRDefault="00E057AD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  <w:t>首都医科大学第十二临床医学院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2023年“申请-考核”制</w:t>
      </w:r>
    </w:p>
    <w:p w:rsidR="00211103" w:rsidRDefault="00E057AD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Helvetica" w:eastAsia="Helvetica" w:hAnsi="Helvetica" w:cs="Helvetica"/>
          <w:color w:val="555555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博士研究生招生拟录取结果</w:t>
      </w:r>
      <w:bookmarkStart w:id="0" w:name="_GoBack"/>
      <w:bookmarkEnd w:id="0"/>
    </w:p>
    <w:p w:rsidR="00211103" w:rsidRDefault="00E057AD">
      <w:pPr>
        <w:pStyle w:val="a3"/>
        <w:widowControl/>
        <w:spacing w:beforeAutospacing="0" w:afterAutospacing="0"/>
        <w:ind w:firstLine="555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根据《首都医科大学2023年博士研究生“申请-考核”制招生简章》、《首都医科大学第十二临床医学院2023年博士研究生“申请-考核”制招生工作办法》，学院按照“择优录取、保证质量”的原则进行录取工作，经知识理论水平与应用能力考核、面试答辩考核，现将学院研究生招生工作小组审议确定的拟录取名单</w:t>
      </w:r>
      <w:r w:rsidR="004174CF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公布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，</w:t>
      </w:r>
      <w:r w:rsidR="004174CF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公布期间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考生如对</w:t>
      </w:r>
      <w:r w:rsidR="004174CF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拟录取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情况有异议，可以拨打电话咨询，联系电话：010-84322904 ，联系人：王老师（工作日9:00—11:00，14:00—16:00）。</w:t>
      </w:r>
    </w:p>
    <w:p w:rsidR="00211103" w:rsidRDefault="00211103">
      <w:pPr>
        <w:pStyle w:val="a3"/>
        <w:widowControl/>
        <w:spacing w:beforeAutospacing="0" w:afterAutospacing="0"/>
        <w:ind w:firstLine="555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211103" w:rsidRDefault="00211103">
      <w:pPr>
        <w:pStyle w:val="a3"/>
        <w:widowControl/>
        <w:spacing w:beforeAutospacing="0" w:afterAutospacing="0"/>
        <w:ind w:firstLine="555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211103" w:rsidRDefault="00211103">
      <w:pPr>
        <w:pStyle w:val="a3"/>
        <w:widowControl/>
        <w:spacing w:beforeAutospacing="0" w:afterAutospacing="0"/>
        <w:ind w:firstLine="555"/>
        <w:rPr>
          <w:rFonts w:ascii="宋体" w:eastAsia="宋体" w:hAnsi="宋体" w:cs="宋体"/>
          <w:color w:val="333333"/>
          <w:shd w:val="clear" w:color="auto" w:fill="FFFFFF"/>
        </w:rPr>
      </w:pPr>
    </w:p>
    <w:p w:rsidR="00211103" w:rsidRDefault="00211103">
      <w:pPr>
        <w:pStyle w:val="a3"/>
        <w:widowControl/>
        <w:spacing w:beforeAutospacing="0" w:afterAutospacing="0"/>
        <w:ind w:firstLine="555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211103" w:rsidRDefault="00211103">
      <w:pPr>
        <w:pStyle w:val="a3"/>
        <w:widowControl/>
        <w:spacing w:beforeAutospacing="0" w:afterAutospacing="0"/>
        <w:ind w:firstLine="555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sectPr w:rsidR="0021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3E" w:rsidRDefault="00CF6B3E" w:rsidP="004174CF">
      <w:r>
        <w:separator/>
      </w:r>
    </w:p>
  </w:endnote>
  <w:endnote w:type="continuationSeparator" w:id="0">
    <w:p w:rsidR="00CF6B3E" w:rsidRDefault="00CF6B3E" w:rsidP="004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3E" w:rsidRDefault="00CF6B3E" w:rsidP="004174CF">
      <w:r>
        <w:separator/>
      </w:r>
    </w:p>
  </w:footnote>
  <w:footnote w:type="continuationSeparator" w:id="0">
    <w:p w:rsidR="00CF6B3E" w:rsidRDefault="00CF6B3E" w:rsidP="0041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ZGZmNjExOGViYTE2OTU0MzJhNzRiMTUzZTM4NGIifQ=="/>
  </w:docVars>
  <w:rsids>
    <w:rsidRoot w:val="00211103"/>
    <w:rsid w:val="001E732E"/>
    <w:rsid w:val="00211103"/>
    <w:rsid w:val="004174CF"/>
    <w:rsid w:val="00CF6B3E"/>
    <w:rsid w:val="00E057AD"/>
    <w:rsid w:val="01625CEC"/>
    <w:rsid w:val="03FF25C5"/>
    <w:rsid w:val="18FF23FC"/>
    <w:rsid w:val="4A710943"/>
    <w:rsid w:val="57B67780"/>
    <w:rsid w:val="7D6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78B85"/>
  <w15:docId w15:val="{E0950D5D-19F3-440A-842E-43AD376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41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7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1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74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jyc</cp:lastModifiedBy>
  <cp:revision>3</cp:revision>
  <dcterms:created xsi:type="dcterms:W3CDTF">2022-06-22T06:54:00Z</dcterms:created>
  <dcterms:modified xsi:type="dcterms:W3CDTF">2022-12-14T02:36:00Z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B6FD646EFFF045E0AD6D317D31CA4075</vt:lpwstr>
  </property>
</Properties>
</file>